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FA775" w14:textId="661B3B4A" w:rsidR="00C3197B" w:rsidRDefault="00C3197B" w:rsidP="00755BD4">
      <w:pPr>
        <w:pStyle w:val="Heading1"/>
      </w:pPr>
      <w:proofErr w:type="spellStart"/>
      <w:r>
        <w:t>Standardisation</w:t>
      </w:r>
      <w:proofErr w:type="spellEnd"/>
      <w:r>
        <w:t xml:space="preserve"> Event</w:t>
      </w:r>
      <w:r w:rsidR="00D5358D">
        <w:t xml:space="preserve"> Proces</w:t>
      </w:r>
      <w:r w:rsidR="00811839">
        <w:t>s</w:t>
      </w:r>
    </w:p>
    <w:p w14:paraId="3887818B" w14:textId="6CB13A4B" w:rsidR="00191564" w:rsidRPr="003A2565" w:rsidRDefault="00191564" w:rsidP="00755BD4">
      <w:pPr>
        <w:pStyle w:val="Heading2"/>
      </w:pPr>
      <w:r w:rsidRPr="003A2565">
        <w:t>Introduction</w:t>
      </w:r>
    </w:p>
    <w:p w14:paraId="2EB6BF36" w14:textId="25FF2008" w:rsidR="009F21CC" w:rsidRDefault="00191564" w:rsidP="00755BD4">
      <w:pPr>
        <w:rPr>
          <w:b/>
        </w:rPr>
      </w:pPr>
      <w:r>
        <w:t xml:space="preserve">The following information is a guide on how to </w:t>
      </w:r>
      <w:r w:rsidR="008D552D">
        <w:t>plan and prepare for standardisation events.  This document should be used alongside the Centre Handbook and the relevant qualification specification.</w:t>
      </w:r>
    </w:p>
    <w:p w14:paraId="674708A1" w14:textId="7A8A3558" w:rsidR="002C26BE" w:rsidRPr="003A2565" w:rsidRDefault="002C26BE" w:rsidP="00755BD4">
      <w:pPr>
        <w:pStyle w:val="Heading2"/>
      </w:pPr>
      <w:r w:rsidRPr="003A2565">
        <w:t>What is standardisation?</w:t>
      </w:r>
    </w:p>
    <w:p w14:paraId="52327EF6" w14:textId="3B386C49" w:rsidR="007F28F8" w:rsidRDefault="002C26BE" w:rsidP="00755BD4">
      <w:pPr>
        <w:rPr>
          <w:b/>
        </w:rPr>
      </w:pPr>
      <w:r>
        <w:t xml:space="preserve">Standardisation is a method of ensuring all those involved in the delivery of a qualification or programme, teachers, assessors, and quality assurers, understand and adhere to the programme or qualification in the same way.  </w:t>
      </w:r>
      <w:r w:rsidR="000B7A6B">
        <w:t xml:space="preserve">Standardisation builds teamwork </w:t>
      </w:r>
      <w:r w:rsidR="00E73EF9">
        <w:t xml:space="preserve">and encourages the sharing of best practice </w:t>
      </w:r>
      <w:r w:rsidR="000B7A6B">
        <w:t>among</w:t>
      </w:r>
      <w:r w:rsidR="00E73EF9">
        <w:t>st</w:t>
      </w:r>
      <w:r w:rsidR="000B7A6B">
        <w:t xml:space="preserve"> delivery staff</w:t>
      </w:r>
      <w:r w:rsidR="00E73EF9">
        <w:t>.</w:t>
      </w:r>
    </w:p>
    <w:p w14:paraId="1E4D05E6" w14:textId="3D983208" w:rsidR="007F28F8" w:rsidRDefault="007F28F8" w:rsidP="00755BD4">
      <w:pPr>
        <w:rPr>
          <w:b/>
        </w:rPr>
      </w:pPr>
      <w:r>
        <w:t>The process of standardisation helps to ensure that assessment methods and decisions are</w:t>
      </w:r>
      <w:r w:rsidR="006216D5">
        <w:t xml:space="preserve"> in line with the principles of assessment</w:t>
      </w:r>
      <w:r>
        <w:t>:</w:t>
      </w:r>
    </w:p>
    <w:p w14:paraId="65692E6B" w14:textId="3B953738" w:rsidR="007F28F8" w:rsidRDefault="007F28F8" w:rsidP="00755BD4">
      <w:pPr>
        <w:rPr>
          <w:b/>
        </w:rPr>
      </w:pPr>
      <w:r>
        <w:t xml:space="preserve">Valid </w:t>
      </w:r>
      <w:r w:rsidR="00A912CA">
        <w:tab/>
      </w:r>
      <w:r w:rsidR="00A912CA">
        <w:tab/>
      </w:r>
      <w:r w:rsidR="00755BD4">
        <w:t>-</w:t>
      </w:r>
      <w:r w:rsidR="00A912CA">
        <w:t>the work is relevant to the assessment criteria</w:t>
      </w:r>
    </w:p>
    <w:p w14:paraId="6686149C" w14:textId="66743ECD" w:rsidR="00384112" w:rsidRDefault="00384112" w:rsidP="00755BD4">
      <w:pPr>
        <w:rPr>
          <w:b/>
        </w:rPr>
      </w:pPr>
      <w:r>
        <w:t>Authentic</w:t>
      </w:r>
      <w:r w:rsidR="00A912CA">
        <w:tab/>
        <w:t>-the work has been produced by the learner</w:t>
      </w:r>
    </w:p>
    <w:p w14:paraId="01A7CE1B" w14:textId="149A280D" w:rsidR="00384112" w:rsidRDefault="00384112" w:rsidP="00755BD4">
      <w:pPr>
        <w:rPr>
          <w:b/>
        </w:rPr>
      </w:pPr>
      <w:r>
        <w:t>Current</w:t>
      </w:r>
      <w:r w:rsidR="00A912CA">
        <w:tab/>
      </w:r>
      <w:r w:rsidR="00A912CA">
        <w:tab/>
      </w:r>
      <w:r w:rsidR="00755BD4">
        <w:t>-</w:t>
      </w:r>
      <w:r w:rsidR="00A912CA">
        <w:t>the work is still relevant at the time of assessment</w:t>
      </w:r>
    </w:p>
    <w:p w14:paraId="54174D8B" w14:textId="78FF2B93" w:rsidR="00384112" w:rsidRDefault="00384112" w:rsidP="00755BD4">
      <w:pPr>
        <w:rPr>
          <w:b/>
        </w:rPr>
      </w:pPr>
      <w:r>
        <w:t>Sufficient</w:t>
      </w:r>
      <w:r w:rsidR="00A912CA">
        <w:tab/>
        <w:t>-the work covers all of the assessment criteria</w:t>
      </w:r>
    </w:p>
    <w:p w14:paraId="3334DF68" w14:textId="703790B9" w:rsidR="00384112" w:rsidRDefault="00384112" w:rsidP="00755BD4">
      <w:pPr>
        <w:rPr>
          <w:b/>
        </w:rPr>
      </w:pPr>
      <w:r>
        <w:t>Reliabl</w:t>
      </w:r>
      <w:r w:rsidR="00A912CA">
        <w:t>e</w:t>
      </w:r>
      <w:r w:rsidR="00A912CA">
        <w:tab/>
      </w:r>
      <w:r w:rsidR="00A912CA">
        <w:tab/>
      </w:r>
      <w:r w:rsidR="00755BD4">
        <w:t>-</w:t>
      </w:r>
      <w:r w:rsidR="00A912CA">
        <w:t>the work is consistent across all learners, over time and at the required level</w:t>
      </w:r>
    </w:p>
    <w:p w14:paraId="30426574" w14:textId="42D8448A" w:rsidR="008D552D" w:rsidRDefault="00A912CA" w:rsidP="00755BD4">
      <w:pPr>
        <w:rPr>
          <w:b/>
        </w:rPr>
      </w:pPr>
      <w:r>
        <w:t xml:space="preserve">This in turn ensures that the methods used are </w:t>
      </w:r>
      <w:r w:rsidR="007F28F8">
        <w:t xml:space="preserve">consistent and fair for all learners, whilst meeting the requirements of the qualification or programme.  </w:t>
      </w:r>
    </w:p>
    <w:p w14:paraId="3E49884F" w14:textId="64D46226" w:rsidR="008D552D" w:rsidRPr="008D552D" w:rsidRDefault="00A912CA" w:rsidP="00755BD4">
      <w:pPr>
        <w:rPr>
          <w:b/>
        </w:rPr>
      </w:pPr>
      <w:r>
        <w:t xml:space="preserve">Standardisation events play a vital role in </w:t>
      </w:r>
      <w:r w:rsidR="00BC1284">
        <w:t>the creation and reviewing of assessment activities, the construction of evidence and the regulation of assessment decisions.</w:t>
      </w:r>
    </w:p>
    <w:p w14:paraId="15758984" w14:textId="2EFBDD7B" w:rsidR="000226B4" w:rsidRPr="002A398E" w:rsidRDefault="002109AB" w:rsidP="00755BD4">
      <w:pPr>
        <w:pStyle w:val="Heading2"/>
      </w:pPr>
      <w:r w:rsidRPr="002A398E">
        <w:t>Standardisation event management</w:t>
      </w:r>
    </w:p>
    <w:p w14:paraId="0F6C83D0" w14:textId="7C63A223" w:rsidR="002109AB" w:rsidRDefault="002109AB" w:rsidP="00755BD4">
      <w:pPr>
        <w:rPr>
          <w:b/>
        </w:rPr>
      </w:pPr>
      <w:r>
        <w:t>Responsibility for standardisation should sit with the organisations Lead Quality Assurer (LQA) or Internal Quality Assurer</w:t>
      </w:r>
      <w:r w:rsidR="00BB3B87">
        <w:t xml:space="preserve"> (IQA)</w:t>
      </w:r>
      <w:r>
        <w:t xml:space="preserve">.  It is the role of the </w:t>
      </w:r>
      <w:r w:rsidR="00BB3B87">
        <w:t>Quality Assurer to plan in regular standardisation events across the course of the academic year.  Dates should be planned well in advance and communicated to all staff to ensure maximum participation.  It is recommended that centres hold a minimum of two standardisation events a year per qualification and staff participation should be mandatory.</w:t>
      </w:r>
      <w:r w:rsidR="000F1A56">
        <w:t xml:space="preserve">   Evidence of the planning, preparation and execution of each event should be kept for  information </w:t>
      </w:r>
      <w:r w:rsidR="00755BD4">
        <w:t>and may be requested by Gateway Qualifications</w:t>
      </w:r>
      <w:r w:rsidR="000F1A56">
        <w:t xml:space="preserve">.  </w:t>
      </w:r>
      <w:r w:rsidR="00826D25">
        <w:t xml:space="preserve">It is requisite that this </w:t>
      </w:r>
      <w:r w:rsidR="000F1A56">
        <w:t xml:space="preserve">evidence </w:t>
      </w:r>
      <w:r w:rsidR="00826D25">
        <w:t>includes an agenda, register of participants, activities, event minutes and participant feedback.</w:t>
      </w:r>
      <w:r w:rsidR="00E9454C">
        <w:t xml:space="preserve">  It is the responsibility of the Quality Assurer to gather and store this documentation.</w:t>
      </w:r>
    </w:p>
    <w:p w14:paraId="6B86DCBD" w14:textId="0FADA9FA" w:rsidR="002264F3" w:rsidRPr="002A398E" w:rsidRDefault="002264F3" w:rsidP="00755BD4">
      <w:pPr>
        <w:pStyle w:val="Heading2"/>
      </w:pPr>
      <w:r w:rsidRPr="002A398E">
        <w:lastRenderedPageBreak/>
        <w:t>Suggested</w:t>
      </w:r>
      <w:r w:rsidR="00D75115" w:rsidRPr="002A398E">
        <w:t xml:space="preserve"> standardisation</w:t>
      </w:r>
      <w:r w:rsidRPr="002A398E">
        <w:t xml:space="preserve"> activities</w:t>
      </w:r>
    </w:p>
    <w:p w14:paraId="329AE6DA" w14:textId="1EB7FFD2" w:rsidR="00D75115" w:rsidRPr="00755BD4" w:rsidRDefault="00D75115" w:rsidP="00755BD4">
      <w:pPr>
        <w:pStyle w:val="ListParagraph"/>
        <w:numPr>
          <w:ilvl w:val="0"/>
          <w:numId w:val="40"/>
        </w:numPr>
        <w:rPr>
          <w:b/>
        </w:rPr>
      </w:pPr>
      <w:r>
        <w:t xml:space="preserve">Group discussions on programme and qualification requirements to ensure </w:t>
      </w:r>
      <w:proofErr w:type="spellStart"/>
      <w:r>
        <w:t>standardised</w:t>
      </w:r>
      <w:proofErr w:type="spellEnd"/>
      <w:r>
        <w:t xml:space="preserve"> interpretation</w:t>
      </w:r>
    </w:p>
    <w:p w14:paraId="568D682C" w14:textId="13DDE373" w:rsidR="00D75115" w:rsidRPr="00755BD4" w:rsidRDefault="00D75115" w:rsidP="00755BD4">
      <w:pPr>
        <w:pStyle w:val="ListParagraph"/>
        <w:numPr>
          <w:ilvl w:val="0"/>
          <w:numId w:val="40"/>
        </w:numPr>
        <w:rPr>
          <w:b/>
        </w:rPr>
      </w:pPr>
      <w:r>
        <w:t>Reviewing and interpreting policies and procedures</w:t>
      </w:r>
    </w:p>
    <w:p w14:paraId="322B3252" w14:textId="426B632E" w:rsidR="00D75115" w:rsidRPr="00755BD4" w:rsidRDefault="00826B5F" w:rsidP="00755BD4">
      <w:pPr>
        <w:pStyle w:val="ListParagraph"/>
        <w:numPr>
          <w:ilvl w:val="0"/>
          <w:numId w:val="40"/>
        </w:numPr>
        <w:rPr>
          <w:b/>
        </w:rPr>
      </w:pPr>
      <w:r>
        <w:t>Production of induction and initial assessment activities</w:t>
      </w:r>
    </w:p>
    <w:p w14:paraId="38094A0E" w14:textId="2CC8C297" w:rsidR="00826B5F" w:rsidRPr="00755BD4" w:rsidRDefault="00826B5F" w:rsidP="00755BD4">
      <w:pPr>
        <w:pStyle w:val="ListParagraph"/>
        <w:numPr>
          <w:ilvl w:val="0"/>
          <w:numId w:val="40"/>
        </w:numPr>
        <w:rPr>
          <w:b/>
        </w:rPr>
      </w:pPr>
      <w:r>
        <w:t>Creation of schemes of work, session plans and curriculum resources</w:t>
      </w:r>
    </w:p>
    <w:p w14:paraId="560E1064" w14:textId="2CDDDD65" w:rsidR="00826B5F" w:rsidRPr="00755BD4" w:rsidRDefault="00826B5F" w:rsidP="00755BD4">
      <w:pPr>
        <w:pStyle w:val="ListParagraph"/>
        <w:numPr>
          <w:ilvl w:val="0"/>
          <w:numId w:val="40"/>
        </w:numPr>
        <w:rPr>
          <w:b/>
        </w:rPr>
      </w:pPr>
      <w:r>
        <w:t>Constructing and reviewing assessing and quality assurance documents</w:t>
      </w:r>
    </w:p>
    <w:p w14:paraId="03F154B1" w14:textId="56832A8E" w:rsidR="00826B5F" w:rsidRPr="00755BD4" w:rsidRDefault="00826B5F" w:rsidP="00755BD4">
      <w:pPr>
        <w:pStyle w:val="ListParagraph"/>
        <w:numPr>
          <w:ilvl w:val="0"/>
          <w:numId w:val="40"/>
        </w:numPr>
        <w:rPr>
          <w:b/>
        </w:rPr>
      </w:pPr>
      <w:r>
        <w:t xml:space="preserve">Peer assessment of assessor decisions </w:t>
      </w:r>
      <w:r w:rsidR="002A398E">
        <w:t>with feedback</w:t>
      </w:r>
    </w:p>
    <w:p w14:paraId="1E68D7DE" w14:textId="010472A4" w:rsidR="002A398E" w:rsidRPr="00755BD4" w:rsidRDefault="002A398E" w:rsidP="00755BD4">
      <w:pPr>
        <w:pStyle w:val="ListParagraph"/>
        <w:numPr>
          <w:ilvl w:val="0"/>
          <w:numId w:val="40"/>
        </w:numPr>
        <w:rPr>
          <w:b/>
        </w:rPr>
      </w:pPr>
      <w:r>
        <w:t>Sharing of best practice slots to allow delivery staff to share new ideas for assessment activities and resources</w:t>
      </w:r>
    </w:p>
    <w:p w14:paraId="09E2D679" w14:textId="22AEA405" w:rsidR="002A398E" w:rsidRPr="00755BD4" w:rsidRDefault="002A398E" w:rsidP="00755BD4">
      <w:pPr>
        <w:pStyle w:val="ListParagraph"/>
        <w:numPr>
          <w:ilvl w:val="0"/>
          <w:numId w:val="40"/>
        </w:numPr>
        <w:rPr>
          <w:b/>
        </w:rPr>
      </w:pPr>
      <w:r>
        <w:t>Comparison of how documents and forms have been completed to ensure consistency</w:t>
      </w:r>
    </w:p>
    <w:p w14:paraId="4C0262C5" w14:textId="57EAC09B" w:rsidR="002A398E" w:rsidRPr="001D6DF3" w:rsidRDefault="001D6DF3" w:rsidP="00755BD4">
      <w:pPr>
        <w:pStyle w:val="Heading2"/>
      </w:pPr>
      <w:r w:rsidRPr="001D6DF3">
        <w:t>The use of technology in standardisation</w:t>
      </w:r>
    </w:p>
    <w:p w14:paraId="63EBEFB8" w14:textId="584E59BD" w:rsidR="001D6DF3" w:rsidRDefault="001D6DF3" w:rsidP="00755BD4">
      <w:pPr>
        <w:rPr>
          <w:b/>
        </w:rPr>
      </w:pPr>
      <w:r>
        <w:t xml:space="preserve">If a quality assurer is responsible for delivery at multiple sites or if attendance at a face to face event is difficult due to time </w:t>
      </w:r>
      <w:r w:rsidR="00755BD4">
        <w:t>constraints,</w:t>
      </w:r>
      <w:r>
        <w:t xml:space="preserve"> then harnessing the use of technology is ideal.</w:t>
      </w:r>
    </w:p>
    <w:p w14:paraId="33CFB9B6" w14:textId="7E1124E6" w:rsidR="001D6DF3" w:rsidRDefault="001D6DF3" w:rsidP="00755BD4">
      <w:pPr>
        <w:rPr>
          <w:b/>
        </w:rPr>
      </w:pPr>
      <w:r>
        <w:t>Technology can also be used in standardisation for:</w:t>
      </w:r>
    </w:p>
    <w:p w14:paraId="72C176C6" w14:textId="0C099DE2" w:rsidR="001D6DF3" w:rsidRPr="00755BD4" w:rsidRDefault="001D6DF3" w:rsidP="00755BD4">
      <w:pPr>
        <w:pStyle w:val="ListParagraph"/>
        <w:numPr>
          <w:ilvl w:val="0"/>
          <w:numId w:val="42"/>
        </w:numPr>
        <w:rPr>
          <w:b/>
        </w:rPr>
      </w:pPr>
      <w:r>
        <w:t xml:space="preserve">Hosting events using video conferencing to discuss </w:t>
      </w:r>
      <w:r w:rsidR="00F07EF6">
        <w:t>programme, qualification or unit details</w:t>
      </w:r>
    </w:p>
    <w:p w14:paraId="296BFE6D" w14:textId="67FAAE6E" w:rsidR="00F07EF6" w:rsidRPr="00755BD4" w:rsidRDefault="00F07EF6" w:rsidP="00755BD4">
      <w:pPr>
        <w:pStyle w:val="ListParagraph"/>
        <w:numPr>
          <w:ilvl w:val="0"/>
          <w:numId w:val="42"/>
        </w:numPr>
        <w:rPr>
          <w:b/>
        </w:rPr>
      </w:pPr>
      <w:r>
        <w:t xml:space="preserve">Hosting online webinars to create a virtual </w:t>
      </w:r>
      <w:proofErr w:type="spellStart"/>
      <w:r>
        <w:t>standardisation</w:t>
      </w:r>
      <w:proofErr w:type="spellEnd"/>
      <w:r>
        <w:t xml:space="preserve"> event</w:t>
      </w:r>
    </w:p>
    <w:p w14:paraId="4BCF29EA" w14:textId="1702AF2B" w:rsidR="00F07EF6" w:rsidRPr="00755BD4" w:rsidRDefault="00F07EF6" w:rsidP="00755BD4">
      <w:pPr>
        <w:pStyle w:val="ListParagraph"/>
        <w:numPr>
          <w:ilvl w:val="0"/>
          <w:numId w:val="42"/>
        </w:numPr>
        <w:rPr>
          <w:b/>
        </w:rPr>
      </w:pPr>
      <w:r>
        <w:t>Uploading digital voice recordings, digital video recordings and other evidence of assessment to a cloud location for assessors to access and feedback on.  Providing developmental feedback with strengths and areas for development</w:t>
      </w:r>
    </w:p>
    <w:p w14:paraId="124CBC47" w14:textId="5D06CC1A" w:rsidR="00F07EF6" w:rsidRPr="00755BD4" w:rsidRDefault="00F07EF6" w:rsidP="00755BD4">
      <w:pPr>
        <w:pStyle w:val="ListParagraph"/>
        <w:numPr>
          <w:ilvl w:val="0"/>
          <w:numId w:val="42"/>
        </w:numPr>
        <w:rPr>
          <w:b/>
        </w:rPr>
      </w:pPr>
      <w:r>
        <w:t>Producing digital video recordings of how to complete forms and reports for assessors to access if examples are needed</w:t>
      </w:r>
    </w:p>
    <w:p w14:paraId="5D3DAB74" w14:textId="68D0E639" w:rsidR="00F07EF6" w:rsidRPr="00755BD4" w:rsidRDefault="00F07EF6" w:rsidP="00755BD4">
      <w:pPr>
        <w:pStyle w:val="ListParagraph"/>
        <w:numPr>
          <w:ilvl w:val="0"/>
          <w:numId w:val="42"/>
        </w:numPr>
        <w:rPr>
          <w:b/>
        </w:rPr>
      </w:pPr>
      <w:r>
        <w:t>Uploading digital video recordings of standardisation activities to a cloud location or virtual learning environment for referral purposes</w:t>
      </w:r>
    </w:p>
    <w:p w14:paraId="64394359" w14:textId="5CF93A81" w:rsidR="001D6DF3" w:rsidRDefault="001D6DF3" w:rsidP="002A398E">
      <w:pPr>
        <w:pStyle w:val="SeetecTitle"/>
        <w:jc w:val="left"/>
        <w:rPr>
          <w:b w:val="0"/>
          <w:bCs/>
          <w:sz w:val="24"/>
          <w:szCs w:val="24"/>
        </w:rPr>
      </w:pPr>
    </w:p>
    <w:p w14:paraId="60465861" w14:textId="41032068" w:rsidR="00F07EF6" w:rsidRPr="00F07EF6" w:rsidRDefault="00F07EF6" w:rsidP="00755BD4">
      <w:pPr>
        <w:pStyle w:val="Heading2"/>
      </w:pPr>
      <w:r w:rsidRPr="00F07EF6">
        <w:t>What are the benefits of standardisation?</w:t>
      </w:r>
    </w:p>
    <w:p w14:paraId="301A276A" w14:textId="30E60B14" w:rsidR="00F07EF6" w:rsidRPr="008A72E9" w:rsidRDefault="00F07EF6" w:rsidP="00755BD4">
      <w:pPr>
        <w:rPr>
          <w:lang w:val="en-GB" w:eastAsia="en-GB"/>
        </w:rPr>
      </w:pPr>
      <w:r w:rsidRPr="008A72E9">
        <w:rPr>
          <w:lang w:val="en-GB" w:eastAsia="en-GB"/>
        </w:rPr>
        <w:t>Standardisation ensures a consistent learning experience for all learners</w:t>
      </w:r>
      <w:r w:rsidR="00E77139" w:rsidRPr="008A72E9">
        <w:rPr>
          <w:lang w:val="en-GB" w:eastAsia="en-GB"/>
        </w:rPr>
        <w:t xml:space="preserve">, across the programme and </w:t>
      </w:r>
      <w:r w:rsidRPr="008A72E9">
        <w:rPr>
          <w:lang w:val="en-GB" w:eastAsia="en-GB"/>
        </w:rPr>
        <w:t>across all sites</w:t>
      </w:r>
      <w:r w:rsidR="00E77139" w:rsidRPr="008A72E9">
        <w:rPr>
          <w:lang w:val="en-GB" w:eastAsia="en-GB"/>
        </w:rPr>
        <w:t xml:space="preserve"> (where relevant).</w:t>
      </w:r>
    </w:p>
    <w:p w14:paraId="2D967ABE" w14:textId="6CEAE01D" w:rsidR="00F07EF6" w:rsidRPr="00F07EF6" w:rsidRDefault="00E77139" w:rsidP="00755BD4">
      <w:pPr>
        <w:rPr>
          <w:lang w:val="en-GB" w:eastAsia="en-GB"/>
        </w:rPr>
      </w:pPr>
      <w:r w:rsidRPr="008A72E9">
        <w:rPr>
          <w:lang w:val="en-GB" w:eastAsia="en-GB"/>
        </w:rPr>
        <w:t xml:space="preserve">Standardisation also offers the opportunity of maintaining and recording continuous professional development.  All staff must have an up to date CPD record which may be viewed by </w:t>
      </w:r>
      <w:r w:rsidR="00755BD4">
        <w:rPr>
          <w:lang w:val="en-GB" w:eastAsia="en-GB"/>
        </w:rPr>
        <w:t>Gateway Qualifications.</w:t>
      </w:r>
    </w:p>
    <w:p w14:paraId="2FFF0B6D" w14:textId="529D2891" w:rsidR="00F07EF6" w:rsidRDefault="00F07EF6" w:rsidP="002A398E">
      <w:pPr>
        <w:pStyle w:val="SeetecTitle"/>
        <w:jc w:val="left"/>
        <w:rPr>
          <w:b w:val="0"/>
          <w:bCs/>
          <w:sz w:val="24"/>
          <w:szCs w:val="24"/>
        </w:rPr>
      </w:pPr>
    </w:p>
    <w:p w14:paraId="41D0CFE7" w14:textId="2AD2806A" w:rsidR="00F07EF6" w:rsidRPr="008A72E9" w:rsidRDefault="00E77139" w:rsidP="00755BD4">
      <w:pPr>
        <w:pStyle w:val="Heading2"/>
        <w:rPr>
          <w:lang w:val="en-GB" w:eastAsia="en-GB"/>
        </w:rPr>
      </w:pPr>
      <w:r w:rsidRPr="008A72E9">
        <w:rPr>
          <w:lang w:val="en-GB" w:eastAsia="en-GB"/>
        </w:rPr>
        <w:lastRenderedPageBreak/>
        <w:t>Other benefits of standardisation can include:</w:t>
      </w:r>
    </w:p>
    <w:p w14:paraId="68953C58" w14:textId="5F6914C6" w:rsidR="00E77139" w:rsidRPr="00755BD4" w:rsidRDefault="00E77139" w:rsidP="00755BD4">
      <w:pPr>
        <w:pStyle w:val="ListParagraph"/>
        <w:numPr>
          <w:ilvl w:val="0"/>
          <w:numId w:val="41"/>
        </w:numPr>
        <w:rPr>
          <w:lang w:val="en-GB" w:eastAsia="en-GB"/>
        </w:rPr>
      </w:pPr>
      <w:r w:rsidRPr="00755BD4">
        <w:rPr>
          <w:lang w:val="en-GB" w:eastAsia="en-GB"/>
        </w:rPr>
        <w:t>An opportunity to discuss changes and developments.</w:t>
      </w:r>
    </w:p>
    <w:p w14:paraId="5D4ED6F4" w14:textId="5B93021E" w:rsidR="00E77139" w:rsidRPr="00755BD4" w:rsidRDefault="00E77139" w:rsidP="00755BD4">
      <w:pPr>
        <w:pStyle w:val="ListParagraph"/>
        <w:numPr>
          <w:ilvl w:val="0"/>
          <w:numId w:val="41"/>
        </w:numPr>
        <w:rPr>
          <w:lang w:val="en-GB" w:eastAsia="en-GB"/>
        </w:rPr>
      </w:pPr>
      <w:r w:rsidRPr="00755BD4">
        <w:rPr>
          <w:lang w:val="en-GB" w:eastAsia="en-GB"/>
        </w:rPr>
        <w:t>Building the confidence of delivery staff.</w:t>
      </w:r>
    </w:p>
    <w:p w14:paraId="31C51549" w14:textId="1E606E18" w:rsidR="00E77139" w:rsidRPr="00755BD4" w:rsidRDefault="00E77139" w:rsidP="00755BD4">
      <w:pPr>
        <w:pStyle w:val="ListParagraph"/>
        <w:numPr>
          <w:ilvl w:val="0"/>
          <w:numId w:val="41"/>
        </w:numPr>
        <w:rPr>
          <w:lang w:val="en-GB" w:eastAsia="en-GB"/>
        </w:rPr>
      </w:pPr>
      <w:r w:rsidRPr="00755BD4">
        <w:rPr>
          <w:lang w:val="en-GB" w:eastAsia="en-GB"/>
        </w:rPr>
        <w:t xml:space="preserve">Re-assessment to </w:t>
      </w:r>
      <w:r w:rsidR="008A72E9" w:rsidRPr="00755BD4">
        <w:rPr>
          <w:lang w:val="en-GB" w:eastAsia="en-GB"/>
        </w:rPr>
        <w:t>identify errors in assessment decisions or plagiarism by learners.</w:t>
      </w:r>
    </w:p>
    <w:p w14:paraId="746C6363" w14:textId="0E2C6546" w:rsidR="008A72E9" w:rsidRPr="00755BD4" w:rsidRDefault="008A72E9" w:rsidP="00755BD4">
      <w:pPr>
        <w:pStyle w:val="ListParagraph"/>
        <w:numPr>
          <w:ilvl w:val="0"/>
          <w:numId w:val="41"/>
        </w:numPr>
        <w:rPr>
          <w:lang w:val="en-GB" w:eastAsia="en-GB"/>
        </w:rPr>
      </w:pPr>
      <w:r w:rsidRPr="00755BD4">
        <w:rPr>
          <w:lang w:val="en-GB" w:eastAsia="en-GB"/>
        </w:rPr>
        <w:t>Providing an organised approach for the creation, development and review of activities and processes.</w:t>
      </w:r>
    </w:p>
    <w:p w14:paraId="5835EB32" w14:textId="6C37AB34" w:rsidR="008A72E9" w:rsidRDefault="008A72E9" w:rsidP="008A72E9">
      <w:pPr>
        <w:spacing w:after="150" w:line="240" w:lineRule="auto"/>
        <w:rPr>
          <w:rFonts w:ascii="Arial" w:eastAsia="Times New Roman" w:hAnsi="Arial" w:cs="Arial"/>
          <w:color w:val="002060"/>
          <w:sz w:val="24"/>
          <w:szCs w:val="24"/>
          <w:lang w:val="en-GB" w:eastAsia="en-GB"/>
        </w:rPr>
      </w:pPr>
    </w:p>
    <w:p w14:paraId="4C0D97D2" w14:textId="77777777" w:rsidR="00F07EF6" w:rsidRDefault="00F07EF6" w:rsidP="002A398E">
      <w:pPr>
        <w:pStyle w:val="SeetecTitle"/>
        <w:jc w:val="left"/>
        <w:rPr>
          <w:b w:val="0"/>
          <w:bCs/>
          <w:sz w:val="24"/>
          <w:szCs w:val="24"/>
        </w:rPr>
      </w:pPr>
      <w:bookmarkStart w:id="0" w:name="_GoBack"/>
      <w:bookmarkEnd w:id="0"/>
    </w:p>
    <w:p w14:paraId="60208B33" w14:textId="78000D14" w:rsidR="002A398E" w:rsidRDefault="002A398E" w:rsidP="002A398E">
      <w:pPr>
        <w:pStyle w:val="SeetecTitle"/>
        <w:jc w:val="left"/>
        <w:rPr>
          <w:b w:val="0"/>
          <w:bCs/>
          <w:sz w:val="24"/>
          <w:szCs w:val="24"/>
        </w:rPr>
      </w:pPr>
    </w:p>
    <w:p w14:paraId="517220D9" w14:textId="77777777" w:rsidR="002A398E" w:rsidRDefault="002A398E" w:rsidP="002A398E">
      <w:pPr>
        <w:pStyle w:val="SeetecTitle"/>
        <w:jc w:val="left"/>
        <w:rPr>
          <w:b w:val="0"/>
          <w:bCs/>
          <w:sz w:val="24"/>
          <w:szCs w:val="24"/>
        </w:rPr>
      </w:pPr>
    </w:p>
    <w:p w14:paraId="14372900" w14:textId="77777777" w:rsidR="002A398E" w:rsidRPr="00D75115" w:rsidRDefault="002A398E" w:rsidP="00D5358D">
      <w:pPr>
        <w:pStyle w:val="SeetecTitle"/>
        <w:jc w:val="left"/>
        <w:rPr>
          <w:b w:val="0"/>
          <w:bCs/>
          <w:sz w:val="24"/>
          <w:szCs w:val="24"/>
        </w:rPr>
      </w:pPr>
    </w:p>
    <w:p w14:paraId="0570848D" w14:textId="4899B5AB" w:rsidR="000226B4" w:rsidRDefault="000226B4" w:rsidP="00D5358D">
      <w:pPr>
        <w:pStyle w:val="SeetecTitle"/>
        <w:jc w:val="left"/>
        <w:rPr>
          <w:b w:val="0"/>
          <w:bCs/>
          <w:sz w:val="24"/>
          <w:szCs w:val="24"/>
        </w:rPr>
      </w:pPr>
    </w:p>
    <w:sectPr w:rsidR="000226B4" w:rsidSect="00D97467">
      <w:headerReference w:type="default" r:id="rId7"/>
      <w:headerReference w:type="first" r:id="rId8"/>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FFCA" w14:textId="77777777" w:rsidR="0008455E" w:rsidRDefault="0008455E" w:rsidP="00D97467">
      <w:pPr>
        <w:spacing w:after="0"/>
      </w:pPr>
      <w:r>
        <w:separator/>
      </w:r>
    </w:p>
  </w:endnote>
  <w:endnote w:type="continuationSeparator" w:id="0">
    <w:p w14:paraId="582EC5B6" w14:textId="77777777" w:rsidR="0008455E" w:rsidRDefault="0008455E" w:rsidP="00D97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Tiffany Std Heavy">
    <w:altName w:val="Engravers MT"/>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FE8A" w14:textId="77777777" w:rsidR="0008455E" w:rsidRDefault="0008455E" w:rsidP="00D97467">
      <w:pPr>
        <w:spacing w:after="0"/>
      </w:pPr>
      <w:r>
        <w:separator/>
      </w:r>
    </w:p>
  </w:footnote>
  <w:footnote w:type="continuationSeparator" w:id="0">
    <w:p w14:paraId="274AE2B0" w14:textId="77777777" w:rsidR="0008455E" w:rsidRDefault="0008455E" w:rsidP="00D97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F1F7" w14:textId="77777777" w:rsidR="00D97467" w:rsidRDefault="00956CDC">
    <w:pPr>
      <w:pStyle w:val="Header"/>
    </w:pPr>
    <w:r>
      <w:rPr>
        <w:noProof/>
      </w:rPr>
      <w:drawing>
        <wp:anchor distT="0" distB="0" distL="114300" distR="114300" simplePos="0" relativeHeight="251662336" behindDoc="1" locked="0" layoutInCell="0" allowOverlap="1" wp14:anchorId="28918F7C" wp14:editId="733A432A">
          <wp:simplePos x="0" y="0"/>
          <wp:positionH relativeFrom="page">
            <wp:align>right</wp:align>
          </wp:positionH>
          <wp:positionV relativeFrom="page">
            <wp:align>top</wp:align>
          </wp:positionV>
          <wp:extent cx="14425295" cy="982980"/>
          <wp:effectExtent l="0" t="0" r="0" b="7620"/>
          <wp:wrapNone/>
          <wp:docPr id="6"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9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0A4B" w14:textId="77777777" w:rsidR="00D97467" w:rsidRDefault="00956CDC">
    <w:pPr>
      <w:pStyle w:val="Header"/>
    </w:pPr>
    <w:r>
      <w:rPr>
        <w:noProof/>
      </w:rPr>
      <w:drawing>
        <wp:anchor distT="0" distB="0" distL="114300" distR="114300" simplePos="0" relativeHeight="251660288" behindDoc="1" locked="0" layoutInCell="1" allowOverlap="1" wp14:anchorId="1D2F882A" wp14:editId="438767EF">
          <wp:simplePos x="0" y="0"/>
          <wp:positionH relativeFrom="column">
            <wp:posOffset>-953135</wp:posOffset>
          </wp:positionH>
          <wp:positionV relativeFrom="paragraph">
            <wp:posOffset>721995</wp:posOffset>
          </wp:positionV>
          <wp:extent cx="6967220" cy="9522460"/>
          <wp:effectExtent l="0" t="0" r="5080" b="254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823"/>
                  <a:stretch>
                    <a:fillRect/>
                  </a:stretch>
                </pic:blipFill>
                <pic:spPr bwMode="auto">
                  <a:xfrm>
                    <a:off x="0" y="0"/>
                    <a:ext cx="6967220" cy="952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0" wp14:anchorId="3CAB09E6" wp14:editId="08A7A0BD">
          <wp:simplePos x="0" y="0"/>
          <wp:positionH relativeFrom="margin">
            <wp:posOffset>3267075</wp:posOffset>
          </wp:positionH>
          <wp:positionV relativeFrom="page">
            <wp:posOffset>377825</wp:posOffset>
          </wp:positionV>
          <wp:extent cx="2473325" cy="597535"/>
          <wp:effectExtent l="0" t="0" r="317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39326" t="11844" r="6232" b="64468"/>
                  <a:stretch>
                    <a:fillRect/>
                  </a:stretch>
                </pic:blipFill>
                <pic:spPr bwMode="auto">
                  <a:xfrm>
                    <a:off x="0" y="0"/>
                    <a:ext cx="247332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1AFA6" w14:textId="77777777" w:rsidR="00D97467" w:rsidRDefault="00D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966"/>
    <w:multiLevelType w:val="multilevel"/>
    <w:tmpl w:val="F208E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24532"/>
    <w:multiLevelType w:val="hybridMultilevel"/>
    <w:tmpl w:val="A190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F12"/>
    <w:multiLevelType w:val="hybridMultilevel"/>
    <w:tmpl w:val="A4E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0803"/>
    <w:multiLevelType w:val="hybridMultilevel"/>
    <w:tmpl w:val="178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E1D23"/>
    <w:multiLevelType w:val="multilevel"/>
    <w:tmpl w:val="0BD06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40441"/>
    <w:multiLevelType w:val="hybridMultilevel"/>
    <w:tmpl w:val="D50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808B1"/>
    <w:multiLevelType w:val="hybridMultilevel"/>
    <w:tmpl w:val="2412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F4CC1"/>
    <w:multiLevelType w:val="hybridMultilevel"/>
    <w:tmpl w:val="936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B3135"/>
    <w:multiLevelType w:val="hybridMultilevel"/>
    <w:tmpl w:val="01C42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87F6E"/>
    <w:multiLevelType w:val="hybridMultilevel"/>
    <w:tmpl w:val="0ACE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A788F"/>
    <w:multiLevelType w:val="hybridMultilevel"/>
    <w:tmpl w:val="C162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C0304"/>
    <w:multiLevelType w:val="hybridMultilevel"/>
    <w:tmpl w:val="BB6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72707"/>
    <w:multiLevelType w:val="hybridMultilevel"/>
    <w:tmpl w:val="C434999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D72F0"/>
    <w:multiLevelType w:val="hybridMultilevel"/>
    <w:tmpl w:val="55A2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55DDD"/>
    <w:multiLevelType w:val="hybridMultilevel"/>
    <w:tmpl w:val="64441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225AD"/>
    <w:multiLevelType w:val="hybridMultilevel"/>
    <w:tmpl w:val="7B96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45FD3"/>
    <w:multiLevelType w:val="hybridMultilevel"/>
    <w:tmpl w:val="D08C4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06ED7"/>
    <w:multiLevelType w:val="hybridMultilevel"/>
    <w:tmpl w:val="1998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91293"/>
    <w:multiLevelType w:val="multilevel"/>
    <w:tmpl w:val="4A6216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b w:val="0"/>
        <w:color w:val="000000"/>
      </w:rPr>
    </w:lvl>
    <w:lvl w:ilvl="2">
      <w:start w:val="1"/>
      <w:numFmt w:val="upperLetter"/>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7A6C53"/>
    <w:multiLevelType w:val="hybridMultilevel"/>
    <w:tmpl w:val="018E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D54CB"/>
    <w:multiLevelType w:val="hybridMultilevel"/>
    <w:tmpl w:val="7DBC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A1A68"/>
    <w:multiLevelType w:val="hybridMultilevel"/>
    <w:tmpl w:val="64629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2AC5"/>
    <w:multiLevelType w:val="hybridMultilevel"/>
    <w:tmpl w:val="E506C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6788E"/>
    <w:multiLevelType w:val="hybridMultilevel"/>
    <w:tmpl w:val="613499E0"/>
    <w:lvl w:ilvl="0" w:tplc="FB822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42D61"/>
    <w:multiLevelType w:val="hybridMultilevel"/>
    <w:tmpl w:val="56FA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04231"/>
    <w:multiLevelType w:val="hybridMultilevel"/>
    <w:tmpl w:val="03C018B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5D1962"/>
    <w:multiLevelType w:val="hybridMultilevel"/>
    <w:tmpl w:val="4AB80DEC"/>
    <w:lvl w:ilvl="0" w:tplc="EA1E3602">
      <w:start w:val="1"/>
      <w:numFmt w:val="low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87458"/>
    <w:multiLevelType w:val="hybridMultilevel"/>
    <w:tmpl w:val="558C40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65C38"/>
    <w:multiLevelType w:val="hybridMultilevel"/>
    <w:tmpl w:val="581C7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D82D94"/>
    <w:multiLevelType w:val="multilevel"/>
    <w:tmpl w:val="90AA5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334A8"/>
    <w:multiLevelType w:val="hybridMultilevel"/>
    <w:tmpl w:val="B8E4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97F5A"/>
    <w:multiLevelType w:val="hybridMultilevel"/>
    <w:tmpl w:val="A956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2B30BB"/>
    <w:multiLevelType w:val="hybridMultilevel"/>
    <w:tmpl w:val="6B40C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707C4A"/>
    <w:multiLevelType w:val="hybridMultilevel"/>
    <w:tmpl w:val="E80000C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A1525"/>
    <w:multiLevelType w:val="hybridMultilevel"/>
    <w:tmpl w:val="C7C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62B5D"/>
    <w:multiLevelType w:val="hybridMultilevel"/>
    <w:tmpl w:val="B1E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929E6"/>
    <w:multiLevelType w:val="hybridMultilevel"/>
    <w:tmpl w:val="148A41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0392A"/>
    <w:multiLevelType w:val="hybridMultilevel"/>
    <w:tmpl w:val="7BECA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8A23F6"/>
    <w:multiLevelType w:val="hybridMultilevel"/>
    <w:tmpl w:val="A932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3673F3"/>
    <w:multiLevelType w:val="hybridMultilevel"/>
    <w:tmpl w:val="975C09E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280656"/>
    <w:multiLevelType w:val="hybridMultilevel"/>
    <w:tmpl w:val="61149016"/>
    <w:lvl w:ilvl="0" w:tplc="FB822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lvlOverride w:ilvl="0">
      <w:lvl w:ilvl="0">
        <w:numFmt w:val="lowerLetter"/>
        <w:lvlText w:val="%1."/>
        <w:lvlJc w:val="left"/>
      </w:lvl>
    </w:lvlOverride>
  </w:num>
  <w:num w:numId="3">
    <w:abstractNumId w:val="16"/>
  </w:num>
  <w:num w:numId="4">
    <w:abstractNumId w:val="32"/>
  </w:num>
  <w:num w:numId="5">
    <w:abstractNumId w:val="35"/>
  </w:num>
  <w:num w:numId="6">
    <w:abstractNumId w:val="27"/>
  </w:num>
  <w:num w:numId="7">
    <w:abstractNumId w:val="11"/>
  </w:num>
  <w:num w:numId="8">
    <w:abstractNumId w:val="23"/>
  </w:num>
  <w:num w:numId="9">
    <w:abstractNumId w:val="6"/>
  </w:num>
  <w:num w:numId="10">
    <w:abstractNumId w:val="1"/>
  </w:num>
  <w:num w:numId="11">
    <w:abstractNumId w:val="39"/>
  </w:num>
  <w:num w:numId="12">
    <w:abstractNumId w:val="14"/>
  </w:num>
  <w:num w:numId="13">
    <w:abstractNumId w:val="29"/>
  </w:num>
  <w:num w:numId="14">
    <w:abstractNumId w:val="40"/>
  </w:num>
  <w:num w:numId="15">
    <w:abstractNumId w:val="33"/>
  </w:num>
  <w:num w:numId="16">
    <w:abstractNumId w:val="38"/>
  </w:num>
  <w:num w:numId="17">
    <w:abstractNumId w:val="8"/>
  </w:num>
  <w:num w:numId="18">
    <w:abstractNumId w:val="20"/>
  </w:num>
  <w:num w:numId="19">
    <w:abstractNumId w:val="37"/>
  </w:num>
  <w:num w:numId="20">
    <w:abstractNumId w:val="41"/>
  </w:num>
  <w:num w:numId="21">
    <w:abstractNumId w:val="24"/>
  </w:num>
  <w:num w:numId="22">
    <w:abstractNumId w:val="26"/>
  </w:num>
  <w:num w:numId="23">
    <w:abstractNumId w:val="13"/>
  </w:num>
  <w:num w:numId="24">
    <w:abstractNumId w:val="2"/>
  </w:num>
  <w:num w:numId="25">
    <w:abstractNumId w:val="7"/>
  </w:num>
  <w:num w:numId="26">
    <w:abstractNumId w:val="15"/>
  </w:num>
  <w:num w:numId="27">
    <w:abstractNumId w:val="9"/>
  </w:num>
  <w:num w:numId="28">
    <w:abstractNumId w:val="22"/>
  </w:num>
  <w:num w:numId="29">
    <w:abstractNumId w:val="34"/>
  </w:num>
  <w:num w:numId="30">
    <w:abstractNumId w:val="28"/>
  </w:num>
  <w:num w:numId="31">
    <w:abstractNumId w:val="17"/>
  </w:num>
  <w:num w:numId="32">
    <w:abstractNumId w:val="31"/>
  </w:num>
  <w:num w:numId="33">
    <w:abstractNumId w:val="18"/>
  </w:num>
  <w:num w:numId="34">
    <w:abstractNumId w:val="21"/>
  </w:num>
  <w:num w:numId="35">
    <w:abstractNumId w:val="0"/>
  </w:num>
  <w:num w:numId="36">
    <w:abstractNumId w:val="12"/>
  </w:num>
  <w:num w:numId="37">
    <w:abstractNumId w:val="5"/>
  </w:num>
  <w:num w:numId="38">
    <w:abstractNumId w:val="30"/>
  </w:num>
  <w:num w:numId="39">
    <w:abstractNumId w:val="4"/>
  </w:num>
  <w:num w:numId="40">
    <w:abstractNumId w:val="10"/>
  </w:num>
  <w:num w:numId="41">
    <w:abstractNumId w:val="3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DE"/>
    <w:rsid w:val="00003341"/>
    <w:rsid w:val="000079BB"/>
    <w:rsid w:val="0001154D"/>
    <w:rsid w:val="00014514"/>
    <w:rsid w:val="000173E6"/>
    <w:rsid w:val="000226B4"/>
    <w:rsid w:val="00022EC3"/>
    <w:rsid w:val="00031053"/>
    <w:rsid w:val="0003219D"/>
    <w:rsid w:val="00035EF6"/>
    <w:rsid w:val="00037028"/>
    <w:rsid w:val="00044B0F"/>
    <w:rsid w:val="0004644D"/>
    <w:rsid w:val="00046526"/>
    <w:rsid w:val="00063BC2"/>
    <w:rsid w:val="0006666B"/>
    <w:rsid w:val="00076D6A"/>
    <w:rsid w:val="0008455E"/>
    <w:rsid w:val="000920E6"/>
    <w:rsid w:val="000930DF"/>
    <w:rsid w:val="000B1AB6"/>
    <w:rsid w:val="000B7A6B"/>
    <w:rsid w:val="000C5E0C"/>
    <w:rsid w:val="000D09B9"/>
    <w:rsid w:val="000E0432"/>
    <w:rsid w:val="000E593F"/>
    <w:rsid w:val="000E666C"/>
    <w:rsid w:val="000E7CE0"/>
    <w:rsid w:val="000F1A56"/>
    <w:rsid w:val="00104F7F"/>
    <w:rsid w:val="001052D2"/>
    <w:rsid w:val="001109B8"/>
    <w:rsid w:val="001506FF"/>
    <w:rsid w:val="001513E7"/>
    <w:rsid w:val="0015274D"/>
    <w:rsid w:val="001639B6"/>
    <w:rsid w:val="00191564"/>
    <w:rsid w:val="001A1B79"/>
    <w:rsid w:val="001A3255"/>
    <w:rsid w:val="001B0C6D"/>
    <w:rsid w:val="001B20A7"/>
    <w:rsid w:val="001C1299"/>
    <w:rsid w:val="001D15FD"/>
    <w:rsid w:val="001D38EE"/>
    <w:rsid w:val="001D3BA3"/>
    <w:rsid w:val="001D6DF3"/>
    <w:rsid w:val="001F1424"/>
    <w:rsid w:val="001F374E"/>
    <w:rsid w:val="0020434F"/>
    <w:rsid w:val="002109AB"/>
    <w:rsid w:val="0021363E"/>
    <w:rsid w:val="002264F3"/>
    <w:rsid w:val="00230025"/>
    <w:rsid w:val="00230030"/>
    <w:rsid w:val="002321E6"/>
    <w:rsid w:val="00232FB4"/>
    <w:rsid w:val="0023518A"/>
    <w:rsid w:val="002438FF"/>
    <w:rsid w:val="00250B03"/>
    <w:rsid w:val="0025147B"/>
    <w:rsid w:val="00254455"/>
    <w:rsid w:val="00256C85"/>
    <w:rsid w:val="00290706"/>
    <w:rsid w:val="00291D5E"/>
    <w:rsid w:val="00292FF5"/>
    <w:rsid w:val="002A398E"/>
    <w:rsid w:val="002C26BE"/>
    <w:rsid w:val="002D3EE1"/>
    <w:rsid w:val="002E08C1"/>
    <w:rsid w:val="002E22AF"/>
    <w:rsid w:val="002E6555"/>
    <w:rsid w:val="00305E71"/>
    <w:rsid w:val="0031381A"/>
    <w:rsid w:val="00320793"/>
    <w:rsid w:val="00324549"/>
    <w:rsid w:val="003262EC"/>
    <w:rsid w:val="003365E3"/>
    <w:rsid w:val="00342566"/>
    <w:rsid w:val="003432A0"/>
    <w:rsid w:val="003548A8"/>
    <w:rsid w:val="003739BD"/>
    <w:rsid w:val="00383094"/>
    <w:rsid w:val="00384112"/>
    <w:rsid w:val="003870FA"/>
    <w:rsid w:val="003A1A18"/>
    <w:rsid w:val="003A2565"/>
    <w:rsid w:val="003C7026"/>
    <w:rsid w:val="003D01BD"/>
    <w:rsid w:val="003D4341"/>
    <w:rsid w:val="003E15CC"/>
    <w:rsid w:val="003E1FB5"/>
    <w:rsid w:val="003E6D3C"/>
    <w:rsid w:val="003F1CA3"/>
    <w:rsid w:val="003F325D"/>
    <w:rsid w:val="00403D26"/>
    <w:rsid w:val="004170D4"/>
    <w:rsid w:val="00421CDB"/>
    <w:rsid w:val="0042306B"/>
    <w:rsid w:val="00427381"/>
    <w:rsid w:val="00440848"/>
    <w:rsid w:val="0044652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351F"/>
    <w:rsid w:val="004E64EA"/>
    <w:rsid w:val="004E7E7A"/>
    <w:rsid w:val="004F4152"/>
    <w:rsid w:val="00501FAB"/>
    <w:rsid w:val="00512186"/>
    <w:rsid w:val="00512910"/>
    <w:rsid w:val="0052324B"/>
    <w:rsid w:val="00532BA7"/>
    <w:rsid w:val="00533B2F"/>
    <w:rsid w:val="005342E8"/>
    <w:rsid w:val="0054183E"/>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216D5"/>
    <w:rsid w:val="00627913"/>
    <w:rsid w:val="0063552B"/>
    <w:rsid w:val="006561D7"/>
    <w:rsid w:val="00657830"/>
    <w:rsid w:val="00657FC9"/>
    <w:rsid w:val="006643AC"/>
    <w:rsid w:val="0067665D"/>
    <w:rsid w:val="0068649B"/>
    <w:rsid w:val="006A2BBA"/>
    <w:rsid w:val="006B2D22"/>
    <w:rsid w:val="006B2D5F"/>
    <w:rsid w:val="006B67F6"/>
    <w:rsid w:val="006D1E4C"/>
    <w:rsid w:val="006E3EBB"/>
    <w:rsid w:val="006F366A"/>
    <w:rsid w:val="006F4BA7"/>
    <w:rsid w:val="00700083"/>
    <w:rsid w:val="0071251C"/>
    <w:rsid w:val="007341FC"/>
    <w:rsid w:val="0073487C"/>
    <w:rsid w:val="00735535"/>
    <w:rsid w:val="0074462C"/>
    <w:rsid w:val="00744F12"/>
    <w:rsid w:val="007478E9"/>
    <w:rsid w:val="00755BD4"/>
    <w:rsid w:val="007621F4"/>
    <w:rsid w:val="00767F78"/>
    <w:rsid w:val="007720DA"/>
    <w:rsid w:val="007724C7"/>
    <w:rsid w:val="00774C00"/>
    <w:rsid w:val="00786551"/>
    <w:rsid w:val="00791C0D"/>
    <w:rsid w:val="00791D56"/>
    <w:rsid w:val="00792A1E"/>
    <w:rsid w:val="007D4E2F"/>
    <w:rsid w:val="007F28F8"/>
    <w:rsid w:val="007F6689"/>
    <w:rsid w:val="007F688F"/>
    <w:rsid w:val="007F707F"/>
    <w:rsid w:val="00801281"/>
    <w:rsid w:val="008024A7"/>
    <w:rsid w:val="00811839"/>
    <w:rsid w:val="0082165A"/>
    <w:rsid w:val="00822C73"/>
    <w:rsid w:val="00822E5E"/>
    <w:rsid w:val="00826B5F"/>
    <w:rsid w:val="00826D25"/>
    <w:rsid w:val="008420C4"/>
    <w:rsid w:val="00845C4F"/>
    <w:rsid w:val="00852053"/>
    <w:rsid w:val="00861FF4"/>
    <w:rsid w:val="00862095"/>
    <w:rsid w:val="008652F9"/>
    <w:rsid w:val="00870F41"/>
    <w:rsid w:val="00873D49"/>
    <w:rsid w:val="00874A92"/>
    <w:rsid w:val="00893AE5"/>
    <w:rsid w:val="008A72E9"/>
    <w:rsid w:val="008A7AB8"/>
    <w:rsid w:val="008B25C5"/>
    <w:rsid w:val="008B51F9"/>
    <w:rsid w:val="008B5889"/>
    <w:rsid w:val="008D552D"/>
    <w:rsid w:val="008E19A8"/>
    <w:rsid w:val="00900E8B"/>
    <w:rsid w:val="0091097D"/>
    <w:rsid w:val="0091460D"/>
    <w:rsid w:val="009305A3"/>
    <w:rsid w:val="009405AA"/>
    <w:rsid w:val="00956CDC"/>
    <w:rsid w:val="00972EBA"/>
    <w:rsid w:val="009754A6"/>
    <w:rsid w:val="009758F3"/>
    <w:rsid w:val="00985D57"/>
    <w:rsid w:val="009943A6"/>
    <w:rsid w:val="009B3D4D"/>
    <w:rsid w:val="009B405F"/>
    <w:rsid w:val="009D4AC7"/>
    <w:rsid w:val="009D691D"/>
    <w:rsid w:val="009E033E"/>
    <w:rsid w:val="009E4064"/>
    <w:rsid w:val="009F1337"/>
    <w:rsid w:val="009F21CC"/>
    <w:rsid w:val="009F3DC7"/>
    <w:rsid w:val="009F6866"/>
    <w:rsid w:val="00A1289E"/>
    <w:rsid w:val="00A13E19"/>
    <w:rsid w:val="00A171E9"/>
    <w:rsid w:val="00A17EC1"/>
    <w:rsid w:val="00A2222F"/>
    <w:rsid w:val="00A326E8"/>
    <w:rsid w:val="00A35177"/>
    <w:rsid w:val="00A419F2"/>
    <w:rsid w:val="00A44227"/>
    <w:rsid w:val="00A45703"/>
    <w:rsid w:val="00A76929"/>
    <w:rsid w:val="00A90135"/>
    <w:rsid w:val="00A912CA"/>
    <w:rsid w:val="00A932AD"/>
    <w:rsid w:val="00A97523"/>
    <w:rsid w:val="00AA2716"/>
    <w:rsid w:val="00AA3107"/>
    <w:rsid w:val="00AA67EA"/>
    <w:rsid w:val="00AB0369"/>
    <w:rsid w:val="00AB7B9B"/>
    <w:rsid w:val="00AC2D2C"/>
    <w:rsid w:val="00AC58DA"/>
    <w:rsid w:val="00AD4DE1"/>
    <w:rsid w:val="00AE5CF2"/>
    <w:rsid w:val="00AF009E"/>
    <w:rsid w:val="00AF0EEA"/>
    <w:rsid w:val="00B06E83"/>
    <w:rsid w:val="00B20BAD"/>
    <w:rsid w:val="00B32E10"/>
    <w:rsid w:val="00B37F22"/>
    <w:rsid w:val="00B618D6"/>
    <w:rsid w:val="00B66F8B"/>
    <w:rsid w:val="00B7009D"/>
    <w:rsid w:val="00B77470"/>
    <w:rsid w:val="00B82D9F"/>
    <w:rsid w:val="00B83411"/>
    <w:rsid w:val="00B97FA7"/>
    <w:rsid w:val="00BA087B"/>
    <w:rsid w:val="00BA2BA4"/>
    <w:rsid w:val="00BB0218"/>
    <w:rsid w:val="00BB3B87"/>
    <w:rsid w:val="00BC1284"/>
    <w:rsid w:val="00BD17A5"/>
    <w:rsid w:val="00BE1D16"/>
    <w:rsid w:val="00BE5893"/>
    <w:rsid w:val="00BE78DA"/>
    <w:rsid w:val="00BF0280"/>
    <w:rsid w:val="00BF41B6"/>
    <w:rsid w:val="00C10121"/>
    <w:rsid w:val="00C12321"/>
    <w:rsid w:val="00C12747"/>
    <w:rsid w:val="00C12ECE"/>
    <w:rsid w:val="00C3149D"/>
    <w:rsid w:val="00C3197B"/>
    <w:rsid w:val="00C46C93"/>
    <w:rsid w:val="00C47174"/>
    <w:rsid w:val="00C50BCC"/>
    <w:rsid w:val="00C55C53"/>
    <w:rsid w:val="00C562E9"/>
    <w:rsid w:val="00C56AFC"/>
    <w:rsid w:val="00C60336"/>
    <w:rsid w:val="00C637AC"/>
    <w:rsid w:val="00C64E1C"/>
    <w:rsid w:val="00C65588"/>
    <w:rsid w:val="00C65B99"/>
    <w:rsid w:val="00C721D6"/>
    <w:rsid w:val="00C746CE"/>
    <w:rsid w:val="00C803F2"/>
    <w:rsid w:val="00C8077D"/>
    <w:rsid w:val="00C82230"/>
    <w:rsid w:val="00C8387B"/>
    <w:rsid w:val="00C84D49"/>
    <w:rsid w:val="00C96243"/>
    <w:rsid w:val="00CD083B"/>
    <w:rsid w:val="00CD104A"/>
    <w:rsid w:val="00CD7070"/>
    <w:rsid w:val="00CE2A14"/>
    <w:rsid w:val="00CF5D82"/>
    <w:rsid w:val="00D23655"/>
    <w:rsid w:val="00D24766"/>
    <w:rsid w:val="00D421E6"/>
    <w:rsid w:val="00D4775E"/>
    <w:rsid w:val="00D51D5C"/>
    <w:rsid w:val="00D5358D"/>
    <w:rsid w:val="00D558C8"/>
    <w:rsid w:val="00D56C15"/>
    <w:rsid w:val="00D64280"/>
    <w:rsid w:val="00D71C67"/>
    <w:rsid w:val="00D75115"/>
    <w:rsid w:val="00D91A67"/>
    <w:rsid w:val="00D97467"/>
    <w:rsid w:val="00DA015A"/>
    <w:rsid w:val="00DA1FED"/>
    <w:rsid w:val="00DA200E"/>
    <w:rsid w:val="00DA6CB2"/>
    <w:rsid w:val="00DA79D3"/>
    <w:rsid w:val="00DB0AD0"/>
    <w:rsid w:val="00DB2C17"/>
    <w:rsid w:val="00DC6247"/>
    <w:rsid w:val="00DC738D"/>
    <w:rsid w:val="00DD094D"/>
    <w:rsid w:val="00DD659A"/>
    <w:rsid w:val="00DE02E8"/>
    <w:rsid w:val="00DE62DE"/>
    <w:rsid w:val="00DE7BDF"/>
    <w:rsid w:val="00E01A57"/>
    <w:rsid w:val="00E0511C"/>
    <w:rsid w:val="00E05F8C"/>
    <w:rsid w:val="00E07380"/>
    <w:rsid w:val="00E1478B"/>
    <w:rsid w:val="00E25018"/>
    <w:rsid w:val="00E26D7C"/>
    <w:rsid w:val="00E27417"/>
    <w:rsid w:val="00E30D7A"/>
    <w:rsid w:val="00E3499D"/>
    <w:rsid w:val="00E41466"/>
    <w:rsid w:val="00E54FB0"/>
    <w:rsid w:val="00E61573"/>
    <w:rsid w:val="00E65869"/>
    <w:rsid w:val="00E73EF9"/>
    <w:rsid w:val="00E77139"/>
    <w:rsid w:val="00E83F36"/>
    <w:rsid w:val="00E92A1C"/>
    <w:rsid w:val="00E9454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07EF6"/>
    <w:rsid w:val="00F11413"/>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A47F4"/>
    <w:rsid w:val="00FB208C"/>
    <w:rsid w:val="00FB2C64"/>
    <w:rsid w:val="00FB32D4"/>
    <w:rsid w:val="00FB40D4"/>
    <w:rsid w:val="00FE151F"/>
    <w:rsid w:val="00FE233D"/>
    <w:rsid w:val="00FF4459"/>
    <w:rsid w:val="00FF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C24815"/>
  <w15:docId w15:val="{90CB96B0-4BF0-4895-8216-8FDD90F4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2D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B97FA7"/>
    <w:pPr>
      <w:keepNext/>
      <w:keepLines/>
      <w:spacing w:before="480"/>
      <w:outlineLvl w:val="0"/>
    </w:pPr>
    <w:rPr>
      <w:b/>
      <w:bCs/>
      <w:color w:val="EA5B0C"/>
      <w:sz w:val="32"/>
      <w:szCs w:val="32"/>
    </w:rPr>
  </w:style>
  <w:style w:type="paragraph" w:styleId="Heading2">
    <w:name w:val="heading 2"/>
    <w:basedOn w:val="Normal"/>
    <w:next w:val="Normal"/>
    <w:link w:val="Heading2Char"/>
    <w:unhideWhenUsed/>
    <w:qFormat/>
    <w:rsid w:val="00B97FA7"/>
    <w:pPr>
      <w:keepNext/>
      <w:keepLines/>
      <w:pBdr>
        <w:bottom w:val="single" w:sz="8" w:space="4" w:color="EA5B0C"/>
      </w:pBdr>
      <w:spacing w:before="200"/>
      <w:outlineLvl w:val="1"/>
    </w:pPr>
    <w:rPr>
      <w:rFonts w:cs="Arial"/>
      <w:b/>
      <w:bCs/>
      <w:color w:val="51145C"/>
      <w:sz w:val="28"/>
      <w:szCs w:val="28"/>
    </w:rPr>
  </w:style>
  <w:style w:type="paragraph" w:styleId="Heading3">
    <w:name w:val="heading 3"/>
    <w:basedOn w:val="Normal"/>
    <w:next w:val="Normal"/>
    <w:link w:val="Heading3Char"/>
    <w:unhideWhenUsed/>
    <w:qFormat/>
    <w:rsid w:val="00B97FA7"/>
    <w:pPr>
      <w:keepNext/>
      <w:keepLines/>
      <w:spacing w:before="200"/>
      <w:outlineLvl w:val="2"/>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7FA7"/>
    <w:rPr>
      <w:rFonts w:eastAsia="Times New Roman"/>
      <w:b/>
      <w:bCs/>
      <w:color w:val="EA5B0C"/>
      <w:sz w:val="32"/>
      <w:szCs w:val="32"/>
    </w:rPr>
  </w:style>
  <w:style w:type="paragraph" w:styleId="ListParagraph">
    <w:name w:val="List Paragraph"/>
    <w:basedOn w:val="Normal"/>
    <w:uiPriority w:val="34"/>
    <w:qFormat/>
    <w:rsid w:val="00576A99"/>
    <w:pPr>
      <w:ind w:left="720"/>
      <w:contextualSpacing/>
    </w:pPr>
  </w:style>
  <w:style w:type="character" w:customStyle="1" w:styleId="Heading2Char">
    <w:name w:val="Heading 2 Char"/>
    <w:link w:val="Heading2"/>
    <w:rsid w:val="00B97FA7"/>
    <w:rPr>
      <w:rFonts w:eastAsia="Times New Roman" w:cs="Arial"/>
      <w:b/>
      <w:bCs/>
      <w:color w:val="51145C"/>
      <w:sz w:val="28"/>
      <w:szCs w:val="28"/>
    </w:rPr>
  </w:style>
  <w:style w:type="character" w:customStyle="1" w:styleId="Heading3Char">
    <w:name w:val="Heading 3 Char"/>
    <w:link w:val="Heading3"/>
    <w:rsid w:val="00B97FA7"/>
    <w:rPr>
      <w:rFonts w:eastAsia="Times New Roman" w:cs="Arial"/>
      <w:b/>
      <w:bCs/>
      <w:sz w:val="24"/>
      <w:szCs w:val="24"/>
    </w:rPr>
  </w:style>
  <w:style w:type="paragraph" w:styleId="Title">
    <w:name w:val="Title"/>
    <w:basedOn w:val="Normal"/>
    <w:next w:val="Normal"/>
    <w:link w:val="TitleChar"/>
    <w:qFormat/>
    <w:rsid w:val="00C64E1C"/>
    <w:pPr>
      <w:spacing w:after="300"/>
      <w:contextualSpacing/>
    </w:pPr>
    <w:rPr>
      <w:rFonts w:ascii="ITC Tiffany Std Heavy" w:hAnsi="ITC Tiffany Std Heavy"/>
      <w:color w:val="00A7A7"/>
      <w:spacing w:val="5"/>
      <w:kern w:val="28"/>
      <w:sz w:val="48"/>
      <w:szCs w:val="48"/>
    </w:rPr>
  </w:style>
  <w:style w:type="character" w:customStyle="1" w:styleId="TitleChar">
    <w:name w:val="Title Char"/>
    <w:link w:val="Title"/>
    <w:rsid w:val="00C64E1C"/>
    <w:rPr>
      <w:rFonts w:ascii="ITC Tiffany Std Heavy" w:eastAsia="Times New Roman" w:hAnsi="ITC Tiffany Std Heavy" w:cs="Times New Roman"/>
      <w:color w:val="00A7A7"/>
      <w:spacing w:val="5"/>
      <w:kern w:val="28"/>
      <w:sz w:val="48"/>
      <w:szCs w:val="48"/>
    </w:rPr>
  </w:style>
  <w:style w:type="paragraph" w:styleId="Subtitle">
    <w:name w:val="Subtitle"/>
    <w:basedOn w:val="Normal"/>
    <w:next w:val="Normal"/>
    <w:link w:val="SubtitleChar"/>
    <w:qFormat/>
    <w:rsid w:val="00B97FA7"/>
    <w:pPr>
      <w:numPr>
        <w:ilvl w:val="1"/>
      </w:numPr>
    </w:pPr>
    <w:rPr>
      <w:rFonts w:cs="Arial"/>
      <w:iCs/>
      <w:color w:val="00A7A7"/>
      <w:spacing w:val="15"/>
      <w:sz w:val="24"/>
    </w:rPr>
  </w:style>
  <w:style w:type="character" w:customStyle="1" w:styleId="SubtitleChar">
    <w:name w:val="Subtitle Char"/>
    <w:link w:val="Subtitle"/>
    <w:rsid w:val="00B97FA7"/>
    <w:rPr>
      <w:rFonts w:eastAsia="Times New Roman" w:cs="Arial"/>
      <w:iCs/>
      <w:color w:val="00A7A7"/>
      <w:spacing w:val="15"/>
      <w:sz w:val="24"/>
      <w:szCs w:val="22"/>
    </w:rPr>
  </w:style>
  <w:style w:type="table" w:styleId="TableGrid">
    <w:name w:val="Table Grid"/>
    <w:basedOn w:val="TableNormal"/>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left w:val="single" w:sz="8" w:space="0" w:color="F58142"/>
        <w:bottom w:val="single" w:sz="8" w:space="0" w:color="F58142"/>
        <w:right w:val="single" w:sz="8" w:space="0" w:color="F58142"/>
        <w:insideH w:val="single" w:sz="8" w:space="0" w:color="F58142"/>
      </w:tblBorders>
    </w:tblPr>
    <w:tblStylePr w:type="firstRow">
      <w:pPr>
        <w:spacing w:before="0" w:after="0" w:line="240" w:lineRule="auto"/>
      </w:pPr>
      <w:rPr>
        <w:b/>
        <w:bCs/>
        <w:color w:val="FFFFFF"/>
      </w:rPr>
      <w:tblPr/>
      <w:tcPr>
        <w:tcBorders>
          <w:top w:val="single" w:sz="8" w:space="0" w:color="F58142"/>
          <w:left w:val="single" w:sz="8" w:space="0" w:color="F58142"/>
          <w:bottom w:val="single" w:sz="8" w:space="0" w:color="F58142"/>
          <w:right w:val="single" w:sz="8" w:space="0" w:color="F58142"/>
          <w:insideH w:val="nil"/>
          <w:insideV w:val="nil"/>
        </w:tcBorders>
        <w:shd w:val="clear" w:color="auto" w:fill="EA5B0C"/>
      </w:tcPr>
    </w:tblStylePr>
    <w:tblStylePr w:type="lastRow">
      <w:pPr>
        <w:spacing w:before="0" w:after="0" w:line="240" w:lineRule="auto"/>
      </w:pPr>
      <w:rPr>
        <w:b/>
        <w:bCs/>
      </w:rPr>
      <w:tblPr/>
      <w:tcPr>
        <w:tcBorders>
          <w:top w:val="double" w:sz="6" w:space="0" w:color="F58142"/>
          <w:left w:val="single" w:sz="8" w:space="0" w:color="F58142"/>
          <w:bottom w:val="single" w:sz="8" w:space="0" w:color="F58142"/>
          <w:right w:val="single" w:sz="8" w:space="0" w:color="F58142"/>
          <w:insideH w:val="nil"/>
          <w:insideV w:val="nil"/>
        </w:tcBorders>
      </w:tcPr>
    </w:tblStylePr>
    <w:tblStylePr w:type="firstCol">
      <w:rPr>
        <w:b/>
        <w:bCs/>
      </w:rPr>
    </w:tblStylePr>
    <w:tblStylePr w:type="lastCol">
      <w:rPr>
        <w:b/>
        <w:bCs/>
      </w:rPr>
    </w:tblStylePr>
    <w:tblStylePr w:type="band1Vert">
      <w:tblPr/>
      <w:tcPr>
        <w:shd w:val="clear" w:color="auto" w:fill="FBD5C0"/>
      </w:tcPr>
    </w:tblStylePr>
    <w:tblStylePr w:type="band1Horz">
      <w:tblPr/>
      <w:tcPr>
        <w:tcBorders>
          <w:insideH w:val="nil"/>
          <w:insideV w:val="nil"/>
        </w:tcBorders>
        <w:shd w:val="clear" w:color="auto" w:fill="FBD5C0"/>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spacing w:after="0"/>
    </w:pPr>
  </w:style>
  <w:style w:type="character" w:customStyle="1" w:styleId="HeaderChar">
    <w:name w:val="Header Char"/>
    <w:aliases w:val="h Char,Header1 Char,Even Char,hdr Char"/>
    <w:link w:val="Header"/>
    <w:rsid w:val="00D97467"/>
    <w:rPr>
      <w:sz w:val="22"/>
      <w:szCs w:val="22"/>
    </w:rPr>
  </w:style>
  <w:style w:type="paragraph" w:styleId="Footer">
    <w:name w:val="footer"/>
    <w:basedOn w:val="Normal"/>
    <w:link w:val="FooterChar"/>
    <w:rsid w:val="00D97467"/>
    <w:pPr>
      <w:tabs>
        <w:tab w:val="center" w:pos="4513"/>
        <w:tab w:val="right" w:pos="9026"/>
      </w:tabs>
      <w:spacing w:after="0"/>
    </w:pPr>
  </w:style>
  <w:style w:type="character" w:customStyle="1" w:styleId="FooterChar">
    <w:name w:val="Footer Char"/>
    <w:link w:val="Footer"/>
    <w:rsid w:val="00D97467"/>
    <w:rPr>
      <w:sz w:val="22"/>
      <w:szCs w:val="22"/>
    </w:rPr>
  </w:style>
  <w:style w:type="paragraph" w:styleId="NormalWeb">
    <w:name w:val="Normal (Web)"/>
    <w:basedOn w:val="Normal"/>
    <w:uiPriority w:val="99"/>
    <w:unhideWhenUsed/>
    <w:rsid w:val="003C7026"/>
    <w:pPr>
      <w:spacing w:after="60"/>
    </w:pPr>
    <w:rPr>
      <w:rFonts w:ascii="Times New Roman" w:eastAsia="Calibri" w:hAnsi="Times New Roman"/>
      <w:sz w:val="24"/>
      <w:szCs w:val="24"/>
    </w:rPr>
  </w:style>
  <w:style w:type="paragraph" w:styleId="TOCHeading">
    <w:name w:val="TOC Heading"/>
    <w:basedOn w:val="Heading1"/>
    <w:next w:val="Normal"/>
    <w:uiPriority w:val="39"/>
    <w:semiHidden/>
    <w:unhideWhenUsed/>
    <w:qFormat/>
    <w:rsid w:val="003C7026"/>
    <w:pPr>
      <w:spacing w:after="0"/>
      <w:outlineLvl w:val="9"/>
    </w:pPr>
    <w:rPr>
      <w:rFonts w:ascii="Cambria" w:hAnsi="Cambria"/>
      <w:color w:val="AE4309"/>
      <w:sz w:val="28"/>
      <w:szCs w:val="28"/>
      <w:lang w:eastAsia="ja-JP"/>
    </w:rPr>
  </w:style>
  <w:style w:type="paragraph" w:styleId="TOC2">
    <w:name w:val="toc 2"/>
    <w:basedOn w:val="Normal"/>
    <w:next w:val="Normal"/>
    <w:autoRedefine/>
    <w:uiPriority w:val="39"/>
    <w:rsid w:val="003C7026"/>
    <w:pPr>
      <w:spacing w:after="100"/>
      <w:ind w:left="220"/>
    </w:pPr>
  </w:style>
  <w:style w:type="character" w:styleId="Hyperlink">
    <w:name w:val="Hyperlink"/>
    <w:uiPriority w:val="99"/>
    <w:unhideWhenUsed/>
    <w:rsid w:val="003C7026"/>
    <w:rPr>
      <w:color w:val="EA5B0C"/>
      <w:u w:val="single"/>
    </w:rPr>
  </w:style>
  <w:style w:type="paragraph" w:customStyle="1" w:styleId="SeetecTitle">
    <w:name w:val="Seetec Title"/>
    <w:basedOn w:val="Normal"/>
    <w:link w:val="SeetecTitleChar"/>
    <w:qFormat/>
    <w:rsid w:val="00C3197B"/>
    <w:pPr>
      <w:jc w:val="center"/>
      <w:outlineLvl w:val="0"/>
    </w:pPr>
    <w:rPr>
      <w:rFonts w:ascii="Arial" w:eastAsia="Calibri" w:hAnsi="Arial" w:cs="Arial"/>
      <w:b/>
      <w:color w:val="2B2C64"/>
      <w:sz w:val="44"/>
      <w:szCs w:val="44"/>
      <w:lang w:val="en-GB"/>
    </w:rPr>
  </w:style>
  <w:style w:type="character" w:customStyle="1" w:styleId="SeetecTitleChar">
    <w:name w:val="Seetec Title Char"/>
    <w:link w:val="SeetecTitle"/>
    <w:rsid w:val="00C3197B"/>
    <w:rPr>
      <w:rFonts w:eastAsia="Calibri" w:cs="Arial"/>
      <w:b/>
      <w:color w:val="2B2C64"/>
      <w:sz w:val="44"/>
      <w:szCs w:val="44"/>
      <w:lang w:eastAsia="en-US"/>
    </w:rPr>
  </w:style>
  <w:style w:type="character" w:styleId="UnresolvedMention">
    <w:name w:val="Unresolved Mention"/>
    <w:basedOn w:val="DefaultParagraphFont"/>
    <w:uiPriority w:val="99"/>
    <w:semiHidden/>
    <w:unhideWhenUsed/>
    <w:rsid w:val="0077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60074">
      <w:bodyDiv w:val="1"/>
      <w:marLeft w:val="0"/>
      <w:marRight w:val="0"/>
      <w:marTop w:val="0"/>
      <w:marBottom w:val="0"/>
      <w:divBdr>
        <w:top w:val="none" w:sz="0" w:space="0" w:color="auto"/>
        <w:left w:val="none" w:sz="0" w:space="0" w:color="auto"/>
        <w:bottom w:val="none" w:sz="0" w:space="0" w:color="auto"/>
        <w:right w:val="none" w:sz="0" w:space="0" w:color="auto"/>
      </w:divBdr>
    </w:div>
    <w:div w:id="635911137">
      <w:bodyDiv w:val="1"/>
      <w:marLeft w:val="0"/>
      <w:marRight w:val="0"/>
      <w:marTop w:val="0"/>
      <w:marBottom w:val="0"/>
      <w:divBdr>
        <w:top w:val="none" w:sz="0" w:space="0" w:color="auto"/>
        <w:left w:val="none" w:sz="0" w:space="0" w:color="auto"/>
        <w:bottom w:val="none" w:sz="0" w:space="0" w:color="auto"/>
        <w:right w:val="none" w:sz="0" w:space="0" w:color="auto"/>
      </w:divBdr>
    </w:div>
    <w:div w:id="1173842300">
      <w:bodyDiv w:val="1"/>
      <w:marLeft w:val="0"/>
      <w:marRight w:val="0"/>
      <w:marTop w:val="0"/>
      <w:marBottom w:val="0"/>
      <w:divBdr>
        <w:top w:val="none" w:sz="0" w:space="0" w:color="auto"/>
        <w:left w:val="none" w:sz="0" w:space="0" w:color="auto"/>
        <w:bottom w:val="none" w:sz="0" w:space="0" w:color="auto"/>
        <w:right w:val="none" w:sz="0" w:space="0" w:color="auto"/>
      </w:divBdr>
    </w:div>
    <w:div w:id="1194273841">
      <w:bodyDiv w:val="1"/>
      <w:marLeft w:val="0"/>
      <w:marRight w:val="0"/>
      <w:marTop w:val="0"/>
      <w:marBottom w:val="0"/>
      <w:divBdr>
        <w:top w:val="none" w:sz="0" w:space="0" w:color="auto"/>
        <w:left w:val="none" w:sz="0" w:space="0" w:color="auto"/>
        <w:bottom w:val="none" w:sz="0" w:space="0" w:color="auto"/>
        <w:right w:val="none" w:sz="0" w:space="0" w:color="auto"/>
      </w:divBdr>
    </w:div>
    <w:div w:id="1814327293">
      <w:bodyDiv w:val="1"/>
      <w:marLeft w:val="0"/>
      <w:marRight w:val="0"/>
      <w:marTop w:val="0"/>
      <w:marBottom w:val="0"/>
      <w:divBdr>
        <w:top w:val="none" w:sz="0" w:space="0" w:color="auto"/>
        <w:left w:val="none" w:sz="0" w:space="0" w:color="auto"/>
        <w:bottom w:val="none" w:sz="0" w:space="0" w:color="auto"/>
        <w:right w:val="none" w:sz="0" w:space="0" w:color="auto"/>
      </w:divBdr>
      <w:divsChild>
        <w:div w:id="26952564">
          <w:marLeft w:val="0"/>
          <w:marRight w:val="0"/>
          <w:marTop w:val="0"/>
          <w:marBottom w:val="150"/>
          <w:divBdr>
            <w:top w:val="none" w:sz="0" w:space="0" w:color="auto"/>
            <w:left w:val="none" w:sz="0" w:space="0" w:color="auto"/>
            <w:bottom w:val="none" w:sz="0" w:space="0" w:color="auto"/>
            <w:right w:val="none" w:sz="0" w:space="0" w:color="auto"/>
          </w:divBdr>
          <w:divsChild>
            <w:div w:id="1180587324">
              <w:marLeft w:val="0"/>
              <w:marRight w:val="0"/>
              <w:marTop w:val="0"/>
              <w:marBottom w:val="0"/>
              <w:divBdr>
                <w:top w:val="none" w:sz="0" w:space="0" w:color="auto"/>
                <w:left w:val="none" w:sz="0" w:space="0" w:color="auto"/>
                <w:bottom w:val="none" w:sz="0" w:space="0" w:color="auto"/>
                <w:right w:val="none" w:sz="0" w:space="0" w:color="auto"/>
              </w:divBdr>
              <w:divsChild>
                <w:div w:id="268900670">
                  <w:marLeft w:val="0"/>
                  <w:marRight w:val="0"/>
                  <w:marTop w:val="0"/>
                  <w:marBottom w:val="150"/>
                  <w:divBdr>
                    <w:top w:val="none" w:sz="0" w:space="0" w:color="auto"/>
                    <w:left w:val="none" w:sz="0" w:space="0" w:color="auto"/>
                    <w:bottom w:val="none" w:sz="0" w:space="0" w:color="auto"/>
                    <w:right w:val="none" w:sz="0" w:space="0" w:color="auto"/>
                  </w:divBdr>
                  <w:divsChild>
                    <w:div w:id="1059522114">
                      <w:marLeft w:val="0"/>
                      <w:marRight w:val="0"/>
                      <w:marTop w:val="0"/>
                      <w:marBottom w:val="0"/>
                      <w:divBdr>
                        <w:top w:val="none" w:sz="0" w:space="0" w:color="auto"/>
                        <w:left w:val="none" w:sz="0" w:space="0" w:color="auto"/>
                        <w:bottom w:val="none" w:sz="0" w:space="0" w:color="auto"/>
                        <w:right w:val="none" w:sz="0" w:space="0" w:color="auto"/>
                      </w:divBdr>
                    </w:div>
                  </w:divsChild>
                </w:div>
                <w:div w:id="190402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068377">
          <w:marLeft w:val="0"/>
          <w:marRight w:val="0"/>
          <w:marTop w:val="0"/>
          <w:marBottom w:val="150"/>
          <w:divBdr>
            <w:top w:val="none" w:sz="0" w:space="0" w:color="auto"/>
            <w:left w:val="none" w:sz="0" w:space="0" w:color="auto"/>
            <w:bottom w:val="none" w:sz="0" w:space="0" w:color="auto"/>
            <w:right w:val="none" w:sz="0" w:space="0" w:color="auto"/>
          </w:divBdr>
          <w:divsChild>
            <w:div w:id="17932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al%20Operations\marketing\TEMPLATES\Live%20Templates\Document%20Template.dotx" TargetMode="External"/></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Template>
  <TotalTime>1</TotalTime>
  <Pages>3</Pages>
  <Words>654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Dickerson</dc:creator>
  <cp:lastModifiedBy>Louise Case</cp:lastModifiedBy>
  <cp:revision>5</cp:revision>
  <cp:lastPrinted>2014-06-04T15:22:00Z</cp:lastPrinted>
  <dcterms:created xsi:type="dcterms:W3CDTF">2019-10-24T08:52:00Z</dcterms:created>
  <dcterms:modified xsi:type="dcterms:W3CDTF">2019-11-15T09:25:00Z</dcterms:modified>
</cp:coreProperties>
</file>